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B74C4" w14:textId="77777777" w:rsidR="003E0749" w:rsidRPr="00B80410" w:rsidRDefault="003E0749" w:rsidP="003E0749">
      <w:pPr>
        <w:widowControl/>
        <w:jc w:val="left"/>
        <w:rPr>
          <w:rFonts w:asciiTheme="majorBidi" w:eastAsia="ＭＳ 明朝" w:hAnsiTheme="majorBidi" w:cstheme="majorBidi"/>
          <w:color w:val="000000"/>
          <w:lang w:bidi="ar-SA"/>
        </w:rPr>
      </w:pPr>
      <w:r w:rsidRPr="00B80410">
        <w:rPr>
          <w:rFonts w:asciiTheme="majorBidi" w:eastAsia="ＭＳ 明朝" w:hAnsiTheme="majorBidi" w:cstheme="majorBidi"/>
          <w:color w:val="000000"/>
          <w:lang w:bidi="ar-SA"/>
        </w:rPr>
        <w:t>別紙様式</w:t>
      </w:r>
      <w:r w:rsidRPr="00B80410">
        <w:rPr>
          <w:rFonts w:asciiTheme="majorBidi" w:eastAsia="ＭＳ 明朝" w:hAnsiTheme="majorBidi" w:cstheme="majorBidi"/>
          <w:color w:val="000000"/>
          <w:lang w:bidi="ar-SA"/>
        </w:rPr>
        <w:t>11</w:t>
      </w:r>
    </w:p>
    <w:p w14:paraId="3D3B4152" w14:textId="77777777" w:rsidR="003E0749" w:rsidRPr="00B80410" w:rsidRDefault="003E0749" w:rsidP="003E0749">
      <w:pPr>
        <w:widowControl/>
        <w:jc w:val="left"/>
        <w:rPr>
          <w:rFonts w:asciiTheme="majorBidi" w:eastAsia="ＭＳ 明朝" w:hAnsiTheme="majorBidi" w:cstheme="majorBidi"/>
          <w:color w:val="000000"/>
          <w:lang w:bidi="ar-SA"/>
        </w:rPr>
      </w:pPr>
    </w:p>
    <w:p w14:paraId="2545B085" w14:textId="77777777" w:rsidR="003E0749" w:rsidRPr="00B80410" w:rsidRDefault="003E0749" w:rsidP="003E0749">
      <w:pPr>
        <w:widowControl/>
        <w:jc w:val="center"/>
        <w:rPr>
          <w:rFonts w:asciiTheme="majorBidi" w:eastAsia="ＭＳ 明朝" w:hAnsiTheme="majorBidi" w:cstheme="majorBidi"/>
          <w:color w:val="000000"/>
          <w:lang w:bidi="ar-SA"/>
        </w:rPr>
      </w:pPr>
      <w:r w:rsidRPr="00B80410">
        <w:rPr>
          <w:rFonts w:asciiTheme="majorBidi" w:eastAsia="ＭＳ 明朝" w:hAnsiTheme="majorBidi" w:cstheme="majorBidi"/>
          <w:color w:val="000000"/>
          <w:lang w:bidi="ar-SA"/>
        </w:rPr>
        <w:t>副作用・感染症症例報告の目次</w:t>
      </w:r>
    </w:p>
    <w:p w14:paraId="7D91ADF6" w14:textId="77777777" w:rsidR="003E0749" w:rsidRPr="00B80410" w:rsidRDefault="003E0749" w:rsidP="003E0749">
      <w:pPr>
        <w:widowControl/>
        <w:jc w:val="center"/>
        <w:rPr>
          <w:rFonts w:asciiTheme="majorBidi" w:eastAsia="ＭＳ 明朝" w:hAnsiTheme="majorBidi" w:cstheme="majorBidi"/>
          <w:color w:val="000000"/>
          <w:lang w:bidi="ar-S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39"/>
        <w:gridCol w:w="999"/>
        <w:gridCol w:w="1109"/>
        <w:gridCol w:w="770"/>
        <w:gridCol w:w="771"/>
        <w:gridCol w:w="826"/>
        <w:gridCol w:w="671"/>
        <w:gridCol w:w="1024"/>
        <w:gridCol w:w="827"/>
        <w:gridCol w:w="1058"/>
      </w:tblGrid>
      <w:tr w:rsidR="003E0749" w:rsidRPr="00B80410" w14:paraId="48854F02" w14:textId="77777777" w:rsidTr="00B70141">
        <w:trPr>
          <w:trHeight w:val="492"/>
        </w:trPr>
        <w:tc>
          <w:tcPr>
            <w:tcW w:w="258" w:type="pct"/>
            <w:vMerge w:val="restart"/>
            <w:vAlign w:val="center"/>
          </w:tcPr>
          <w:p w14:paraId="58CBB9CA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1241" w:type="pct"/>
            <w:gridSpan w:val="2"/>
            <w:vAlign w:val="center"/>
          </w:tcPr>
          <w:p w14:paraId="1AA36B4D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副作用・感染症の種類</w:t>
            </w:r>
          </w:p>
        </w:tc>
        <w:tc>
          <w:tcPr>
            <w:tcW w:w="453" w:type="pct"/>
            <w:vMerge w:val="restart"/>
            <w:vAlign w:val="center"/>
          </w:tcPr>
          <w:p w14:paraId="0A58388D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性別</w:t>
            </w:r>
          </w:p>
        </w:tc>
        <w:tc>
          <w:tcPr>
            <w:tcW w:w="454" w:type="pct"/>
            <w:vMerge w:val="restart"/>
            <w:vAlign w:val="center"/>
          </w:tcPr>
          <w:p w14:paraId="757E28F3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年齢</w:t>
            </w:r>
          </w:p>
        </w:tc>
        <w:tc>
          <w:tcPr>
            <w:tcW w:w="486" w:type="pct"/>
            <w:vMerge w:val="restart"/>
            <w:vAlign w:val="center"/>
          </w:tcPr>
          <w:p w14:paraId="03F5E72B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副作用等発現年月日</w:t>
            </w:r>
          </w:p>
        </w:tc>
        <w:tc>
          <w:tcPr>
            <w:tcW w:w="395" w:type="pct"/>
            <w:vMerge w:val="restart"/>
            <w:vAlign w:val="center"/>
          </w:tcPr>
          <w:p w14:paraId="0BB21DE3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転帰</w:t>
            </w:r>
          </w:p>
        </w:tc>
        <w:tc>
          <w:tcPr>
            <w:tcW w:w="603" w:type="pct"/>
            <w:vMerge w:val="restart"/>
            <w:vAlign w:val="center"/>
          </w:tcPr>
          <w:p w14:paraId="4B3148F5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副作用・感染症の区分</w:t>
            </w:r>
          </w:p>
        </w:tc>
        <w:tc>
          <w:tcPr>
            <w:tcW w:w="487" w:type="pct"/>
            <w:vMerge w:val="restart"/>
            <w:vAlign w:val="center"/>
          </w:tcPr>
          <w:p w14:paraId="3CC8C163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  <w:t>調査名</w:t>
            </w:r>
          </w:p>
        </w:tc>
        <w:tc>
          <w:tcPr>
            <w:tcW w:w="623" w:type="pct"/>
            <w:vMerge w:val="restart"/>
            <w:vAlign w:val="center"/>
          </w:tcPr>
          <w:p w14:paraId="7CAFB965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  <w:t>PMDA</w:t>
            </w:r>
          </w:p>
          <w:p w14:paraId="7C684E00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  <w:t>識別番号</w:t>
            </w:r>
          </w:p>
        </w:tc>
      </w:tr>
      <w:tr w:rsidR="003E0749" w:rsidRPr="00B80410" w14:paraId="0A540F9F" w14:textId="77777777" w:rsidTr="00B70141">
        <w:trPr>
          <w:trHeight w:val="684"/>
        </w:trPr>
        <w:tc>
          <w:tcPr>
            <w:tcW w:w="258" w:type="pct"/>
            <w:vMerge/>
            <w:vAlign w:val="center"/>
          </w:tcPr>
          <w:p w14:paraId="3D34E70E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3190CA12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  <w:t>器官別大分類</w:t>
            </w:r>
          </w:p>
        </w:tc>
        <w:tc>
          <w:tcPr>
            <w:tcW w:w="653" w:type="pct"/>
            <w:vAlign w:val="center"/>
          </w:tcPr>
          <w:p w14:paraId="1AA4E10B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  <w:r w:rsidRPr="00B80410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  <w:t>基本語</w:t>
            </w:r>
          </w:p>
        </w:tc>
        <w:tc>
          <w:tcPr>
            <w:tcW w:w="453" w:type="pct"/>
            <w:vMerge/>
            <w:vAlign w:val="center"/>
          </w:tcPr>
          <w:p w14:paraId="425A27EE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Merge/>
            <w:vAlign w:val="center"/>
          </w:tcPr>
          <w:p w14:paraId="17BAB380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Merge/>
            <w:vAlign w:val="center"/>
          </w:tcPr>
          <w:p w14:paraId="7084E766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Merge/>
            <w:vAlign w:val="center"/>
          </w:tcPr>
          <w:p w14:paraId="35AE3335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Merge/>
            <w:vAlign w:val="center"/>
          </w:tcPr>
          <w:p w14:paraId="76EF5B88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Merge/>
            <w:vAlign w:val="center"/>
          </w:tcPr>
          <w:p w14:paraId="57976418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Merge/>
            <w:vAlign w:val="center"/>
          </w:tcPr>
          <w:p w14:paraId="65E7D7F0" w14:textId="77777777" w:rsidR="003E0749" w:rsidRPr="00B80410" w:rsidRDefault="003E0749" w:rsidP="003E0749">
            <w:pPr>
              <w:widowControl/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3E0749" w:rsidRPr="00B80410" w14:paraId="345EC37B" w14:textId="77777777" w:rsidTr="00B70141">
        <w:tc>
          <w:tcPr>
            <w:tcW w:w="258" w:type="pct"/>
            <w:vAlign w:val="center"/>
          </w:tcPr>
          <w:p w14:paraId="55E7FCC9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3FD9836F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53" w:type="pct"/>
            <w:vAlign w:val="center"/>
          </w:tcPr>
          <w:p w14:paraId="1694200E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3" w:type="pct"/>
            <w:vAlign w:val="center"/>
          </w:tcPr>
          <w:p w14:paraId="4B9E6DAF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Align w:val="center"/>
          </w:tcPr>
          <w:p w14:paraId="17E2C00C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Align w:val="center"/>
          </w:tcPr>
          <w:p w14:paraId="70EE4E4B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Align w:val="center"/>
          </w:tcPr>
          <w:p w14:paraId="013E8D75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Align w:val="center"/>
          </w:tcPr>
          <w:p w14:paraId="57C57EDE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Align w:val="center"/>
          </w:tcPr>
          <w:p w14:paraId="4EA101C9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Align w:val="center"/>
          </w:tcPr>
          <w:p w14:paraId="11CE59FC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3E0749" w:rsidRPr="00B80410" w14:paraId="76415732" w14:textId="77777777" w:rsidTr="00B70141">
        <w:tc>
          <w:tcPr>
            <w:tcW w:w="258" w:type="pct"/>
            <w:vAlign w:val="center"/>
          </w:tcPr>
          <w:p w14:paraId="327E2299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2C02040D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53" w:type="pct"/>
            <w:vAlign w:val="center"/>
          </w:tcPr>
          <w:p w14:paraId="6462309A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3" w:type="pct"/>
            <w:vAlign w:val="center"/>
          </w:tcPr>
          <w:p w14:paraId="25EF6188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Align w:val="center"/>
          </w:tcPr>
          <w:p w14:paraId="6B7D7339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Align w:val="center"/>
          </w:tcPr>
          <w:p w14:paraId="46BA4339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Align w:val="center"/>
          </w:tcPr>
          <w:p w14:paraId="72B1C2BD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Align w:val="center"/>
          </w:tcPr>
          <w:p w14:paraId="2888AF1E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Align w:val="center"/>
          </w:tcPr>
          <w:p w14:paraId="1EB2DF74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Align w:val="center"/>
          </w:tcPr>
          <w:p w14:paraId="4F33188A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3E0749" w:rsidRPr="00B80410" w14:paraId="047EB96F" w14:textId="77777777" w:rsidTr="00B70141">
        <w:tc>
          <w:tcPr>
            <w:tcW w:w="258" w:type="pct"/>
            <w:vAlign w:val="center"/>
          </w:tcPr>
          <w:p w14:paraId="43BB1D0A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7C55D67B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53" w:type="pct"/>
            <w:vAlign w:val="center"/>
          </w:tcPr>
          <w:p w14:paraId="04122253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3" w:type="pct"/>
            <w:vAlign w:val="center"/>
          </w:tcPr>
          <w:p w14:paraId="46BB8485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Align w:val="center"/>
          </w:tcPr>
          <w:p w14:paraId="22D7CF44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Align w:val="center"/>
          </w:tcPr>
          <w:p w14:paraId="4C371B39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Align w:val="center"/>
          </w:tcPr>
          <w:p w14:paraId="791C4A65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Align w:val="center"/>
          </w:tcPr>
          <w:p w14:paraId="4D5F0C16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Align w:val="center"/>
          </w:tcPr>
          <w:p w14:paraId="525F8A86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Align w:val="center"/>
          </w:tcPr>
          <w:p w14:paraId="36520B0D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3E0749" w:rsidRPr="00B80410" w14:paraId="5902A9F8" w14:textId="77777777" w:rsidTr="00B70141">
        <w:tc>
          <w:tcPr>
            <w:tcW w:w="258" w:type="pct"/>
            <w:vAlign w:val="center"/>
          </w:tcPr>
          <w:p w14:paraId="0C9C8449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6B8B9765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53" w:type="pct"/>
            <w:vAlign w:val="center"/>
          </w:tcPr>
          <w:p w14:paraId="653BE457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3" w:type="pct"/>
            <w:vAlign w:val="center"/>
          </w:tcPr>
          <w:p w14:paraId="45B3D81D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Align w:val="center"/>
          </w:tcPr>
          <w:p w14:paraId="1F76A9B4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Align w:val="center"/>
          </w:tcPr>
          <w:p w14:paraId="265917B6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Align w:val="center"/>
          </w:tcPr>
          <w:p w14:paraId="42EF793C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Align w:val="center"/>
          </w:tcPr>
          <w:p w14:paraId="780ABDA6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Align w:val="center"/>
          </w:tcPr>
          <w:p w14:paraId="4F1A74C0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Align w:val="center"/>
          </w:tcPr>
          <w:p w14:paraId="44FDD5DF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3E0749" w:rsidRPr="00B80410" w14:paraId="628C4609" w14:textId="77777777" w:rsidTr="00B70141">
        <w:tc>
          <w:tcPr>
            <w:tcW w:w="258" w:type="pct"/>
            <w:vAlign w:val="center"/>
          </w:tcPr>
          <w:p w14:paraId="563F86C1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5E217706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53" w:type="pct"/>
            <w:vAlign w:val="center"/>
          </w:tcPr>
          <w:p w14:paraId="44E00403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3" w:type="pct"/>
            <w:vAlign w:val="center"/>
          </w:tcPr>
          <w:p w14:paraId="6106B0F8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Align w:val="center"/>
          </w:tcPr>
          <w:p w14:paraId="58BFF7AE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Align w:val="center"/>
          </w:tcPr>
          <w:p w14:paraId="578DA307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Align w:val="center"/>
          </w:tcPr>
          <w:p w14:paraId="6FB4350F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Align w:val="center"/>
          </w:tcPr>
          <w:p w14:paraId="6F646167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Align w:val="center"/>
          </w:tcPr>
          <w:p w14:paraId="78F9AE6A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Align w:val="center"/>
          </w:tcPr>
          <w:p w14:paraId="1DA51E68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3E0749" w:rsidRPr="00B80410" w14:paraId="514BFE57" w14:textId="77777777" w:rsidTr="00B70141">
        <w:tc>
          <w:tcPr>
            <w:tcW w:w="258" w:type="pct"/>
            <w:vAlign w:val="center"/>
          </w:tcPr>
          <w:p w14:paraId="3A67A156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34A52075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53" w:type="pct"/>
            <w:vAlign w:val="center"/>
          </w:tcPr>
          <w:p w14:paraId="3DDAF588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3" w:type="pct"/>
            <w:vAlign w:val="center"/>
          </w:tcPr>
          <w:p w14:paraId="140A31C2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Align w:val="center"/>
          </w:tcPr>
          <w:p w14:paraId="6623A0AA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Align w:val="center"/>
          </w:tcPr>
          <w:p w14:paraId="7FD774A4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Align w:val="center"/>
          </w:tcPr>
          <w:p w14:paraId="07A2C472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Align w:val="center"/>
          </w:tcPr>
          <w:p w14:paraId="0A570F7A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Align w:val="center"/>
          </w:tcPr>
          <w:p w14:paraId="48F9686D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Align w:val="center"/>
          </w:tcPr>
          <w:p w14:paraId="232804C7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3E0749" w:rsidRPr="00B80410" w14:paraId="212EF7FA" w14:textId="77777777" w:rsidTr="00B70141">
        <w:tc>
          <w:tcPr>
            <w:tcW w:w="258" w:type="pct"/>
            <w:vAlign w:val="center"/>
          </w:tcPr>
          <w:p w14:paraId="6B692459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3BA454E1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53" w:type="pct"/>
            <w:vAlign w:val="center"/>
          </w:tcPr>
          <w:p w14:paraId="2A5920F8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3" w:type="pct"/>
            <w:vAlign w:val="center"/>
          </w:tcPr>
          <w:p w14:paraId="38528CC8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Align w:val="center"/>
          </w:tcPr>
          <w:p w14:paraId="51EFA175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Align w:val="center"/>
          </w:tcPr>
          <w:p w14:paraId="7111E64F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Align w:val="center"/>
          </w:tcPr>
          <w:p w14:paraId="56BD589D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Align w:val="center"/>
          </w:tcPr>
          <w:p w14:paraId="38FD58E0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Align w:val="center"/>
          </w:tcPr>
          <w:p w14:paraId="6A475B0B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Align w:val="center"/>
          </w:tcPr>
          <w:p w14:paraId="4E7CB4C0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3E0749" w:rsidRPr="00B80410" w14:paraId="1237CDED" w14:textId="77777777" w:rsidTr="00B70141">
        <w:tc>
          <w:tcPr>
            <w:tcW w:w="258" w:type="pct"/>
            <w:vAlign w:val="center"/>
          </w:tcPr>
          <w:p w14:paraId="21EBFD93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756BBC60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53" w:type="pct"/>
            <w:vAlign w:val="center"/>
          </w:tcPr>
          <w:p w14:paraId="4126B61F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3" w:type="pct"/>
            <w:vAlign w:val="center"/>
          </w:tcPr>
          <w:p w14:paraId="052597DC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Align w:val="center"/>
          </w:tcPr>
          <w:p w14:paraId="0E3F892C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Align w:val="center"/>
          </w:tcPr>
          <w:p w14:paraId="367E23F1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Align w:val="center"/>
          </w:tcPr>
          <w:p w14:paraId="2035AEEB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Align w:val="center"/>
          </w:tcPr>
          <w:p w14:paraId="46842318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Align w:val="center"/>
          </w:tcPr>
          <w:p w14:paraId="564332A0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Align w:val="center"/>
          </w:tcPr>
          <w:p w14:paraId="6AF9F4F8" w14:textId="77777777" w:rsidR="003E0749" w:rsidRPr="00B80410" w:rsidRDefault="003E0749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B70141" w:rsidRPr="00B80410" w14:paraId="0E6E54AA" w14:textId="77777777" w:rsidTr="00B70141">
        <w:tc>
          <w:tcPr>
            <w:tcW w:w="258" w:type="pct"/>
            <w:vAlign w:val="center"/>
          </w:tcPr>
          <w:p w14:paraId="162FC6D8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41EC038B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53" w:type="pct"/>
            <w:vAlign w:val="center"/>
          </w:tcPr>
          <w:p w14:paraId="1650B262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3" w:type="pct"/>
            <w:vAlign w:val="center"/>
          </w:tcPr>
          <w:p w14:paraId="30D806A2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Align w:val="center"/>
          </w:tcPr>
          <w:p w14:paraId="6A83550F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Align w:val="center"/>
          </w:tcPr>
          <w:p w14:paraId="4B6302FB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Align w:val="center"/>
          </w:tcPr>
          <w:p w14:paraId="30762B8E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Align w:val="center"/>
          </w:tcPr>
          <w:p w14:paraId="4071AE4B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Align w:val="center"/>
          </w:tcPr>
          <w:p w14:paraId="64384691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Align w:val="center"/>
          </w:tcPr>
          <w:p w14:paraId="5DF801EA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B70141" w:rsidRPr="00B80410" w14:paraId="0CC48A97" w14:textId="77777777" w:rsidTr="00B70141">
        <w:tc>
          <w:tcPr>
            <w:tcW w:w="258" w:type="pct"/>
            <w:vAlign w:val="center"/>
          </w:tcPr>
          <w:p w14:paraId="0CF06106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8" w:type="pct"/>
            <w:vAlign w:val="center"/>
          </w:tcPr>
          <w:p w14:paraId="7CC6C98A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53" w:type="pct"/>
            <w:vAlign w:val="center"/>
          </w:tcPr>
          <w:p w14:paraId="712EB355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3" w:type="pct"/>
            <w:vAlign w:val="center"/>
          </w:tcPr>
          <w:p w14:paraId="27A2BBFE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4" w:type="pct"/>
            <w:vAlign w:val="center"/>
          </w:tcPr>
          <w:p w14:paraId="2912B958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6" w:type="pct"/>
            <w:vAlign w:val="center"/>
          </w:tcPr>
          <w:p w14:paraId="4E5D360A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395" w:type="pct"/>
            <w:vAlign w:val="center"/>
          </w:tcPr>
          <w:p w14:paraId="68EF0C00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03" w:type="pct"/>
            <w:vAlign w:val="center"/>
          </w:tcPr>
          <w:p w14:paraId="35AC4B32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87" w:type="pct"/>
            <w:vAlign w:val="center"/>
          </w:tcPr>
          <w:p w14:paraId="2DCD85EC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3" w:type="pct"/>
            <w:vAlign w:val="center"/>
          </w:tcPr>
          <w:p w14:paraId="40977086" w14:textId="77777777" w:rsidR="00B70141" w:rsidRPr="00B80410" w:rsidRDefault="00B70141" w:rsidP="00AE4320">
            <w:pPr>
              <w:widowControl/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</w:tbl>
    <w:p w14:paraId="748801DE" w14:textId="77777777" w:rsidR="003E0749" w:rsidRPr="00B80410" w:rsidRDefault="003E0749" w:rsidP="003E0749">
      <w:pPr>
        <w:widowControl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eastAsia="zh-TW" w:bidi="ar-SA"/>
        </w:rPr>
      </w:pPr>
    </w:p>
    <w:p w14:paraId="20BC98C9" w14:textId="6215D1FF" w:rsidR="003E0749" w:rsidRPr="00B80410" w:rsidRDefault="003E0749" w:rsidP="003E0749">
      <w:pPr>
        <w:widowControl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（注意）</w:t>
      </w:r>
      <w:r w:rsidR="006E3685" w:rsidRPr="00B80410">
        <w:rPr>
          <w:rFonts w:asciiTheme="majorBidi" w:eastAsia="ＭＳ 明朝" w:hAnsiTheme="majorBidi" w:cstheme="majorBidi"/>
          <w:color w:val="FF0000"/>
          <w:kern w:val="0"/>
          <w:sz w:val="18"/>
          <w:szCs w:val="18"/>
          <w:lang w:bidi="ar-SA"/>
        </w:rPr>
        <w:t>※</w:t>
      </w:r>
      <w:r w:rsidR="006E3685" w:rsidRPr="00B80410">
        <w:rPr>
          <w:rFonts w:asciiTheme="majorBidi" w:eastAsia="ＭＳ 明朝" w:hAnsiTheme="majorBidi" w:cstheme="majorBidi"/>
          <w:color w:val="FF0000"/>
          <w:kern w:val="0"/>
          <w:sz w:val="18"/>
          <w:szCs w:val="18"/>
          <w:lang w:bidi="ar-SA"/>
        </w:rPr>
        <w:t>以下、注意事項は作成時に削除すること。</w:t>
      </w:r>
    </w:p>
    <w:p w14:paraId="7E3E29A9" w14:textId="77777777" w:rsidR="003E0749" w:rsidRPr="00B80410" w:rsidRDefault="003E0749" w:rsidP="003E0749">
      <w:pPr>
        <w:widowControl/>
        <w:numPr>
          <w:ilvl w:val="0"/>
          <w:numId w:val="1"/>
        </w:numPr>
        <w:ind w:left="360" w:hangingChars="200" w:hanging="36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再審査品目について、副作用・感染症報告を電子的に行っている場合は、当該様式の添付は不要であること。</w:t>
      </w:r>
    </w:p>
    <w:p w14:paraId="31D14603" w14:textId="77777777" w:rsidR="003E0749" w:rsidRPr="00B80410" w:rsidRDefault="003E0749" w:rsidP="003E0749">
      <w:pPr>
        <w:widowControl/>
        <w:numPr>
          <w:ilvl w:val="0"/>
          <w:numId w:val="1"/>
        </w:numPr>
        <w:ind w:left="360" w:hangingChars="200" w:hanging="36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再審査期間満了までに入手した情報のうち、</w:t>
      </w: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PMDA</w:t>
      </w: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に報告した副作用・感染症の症例（外国の症例を除く。）について記載すること。</w:t>
      </w:r>
    </w:p>
    <w:p w14:paraId="4477A041" w14:textId="0AF7E9E2" w:rsidR="003E0749" w:rsidRPr="00B80410" w:rsidRDefault="003E0749" w:rsidP="003E0749">
      <w:pPr>
        <w:widowControl/>
        <w:numPr>
          <w:ilvl w:val="0"/>
          <w:numId w:val="1"/>
        </w:numPr>
        <w:ind w:left="360" w:hangingChars="200" w:hanging="36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番号欄には、症例ごとに任意の連番（</w:t>
      </w:r>
      <w:r w:rsidR="00B70141"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１，２，３，</w:t>
      </w: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 xml:space="preserve"> </w:t>
      </w: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･･･など）を記載すること。</w:t>
      </w:r>
    </w:p>
    <w:p w14:paraId="3C4BBC2C" w14:textId="77777777" w:rsidR="003E0749" w:rsidRPr="00B80410" w:rsidRDefault="003E0749" w:rsidP="003E0749">
      <w:pPr>
        <w:widowControl/>
        <w:numPr>
          <w:ilvl w:val="0"/>
          <w:numId w:val="1"/>
        </w:numPr>
        <w:ind w:left="360" w:hangingChars="200" w:hanging="36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症例は、副作用・感染症の種類は、「</w:t>
      </w: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 xml:space="preserve">ICH </w:t>
      </w: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国際医薬用語集日本語版（</w:t>
      </w: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MedDRA/J</w:t>
      </w: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）」に基づき、器官別大分類、基本語ごとに記載し、同一区分内の症例については副作用・感染症の報告年月日順に記載すること。同一症例の中で複数の報告対象となる副作用・感染症が発現している場合には、一つの副作用・感染症ごとに症例を重複して記載すること。なお、その場合は、同一症例の番号欄には同一の番号を付すこと。</w:t>
      </w:r>
    </w:p>
    <w:p w14:paraId="3D13AE69" w14:textId="77777777" w:rsidR="003E0749" w:rsidRPr="00B80410" w:rsidRDefault="003E0749" w:rsidP="003E0749">
      <w:pPr>
        <w:widowControl/>
        <w:numPr>
          <w:ilvl w:val="0"/>
          <w:numId w:val="1"/>
        </w:numPr>
        <w:ind w:left="360" w:hangingChars="200" w:hanging="36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転帰欄には、症例の転帰ではなく、副作用・感染症ごとの転帰を、「回復」、「軽快」、「未回復」、「回復したが後遺症あり」、「死亡」又は「不明」の何れかで記載すること。</w:t>
      </w:r>
    </w:p>
    <w:p w14:paraId="4BE6AEC9" w14:textId="628901B7" w:rsidR="003E0749" w:rsidRPr="00B80410" w:rsidRDefault="003E0749" w:rsidP="003E0749">
      <w:pPr>
        <w:widowControl/>
        <w:numPr>
          <w:ilvl w:val="0"/>
          <w:numId w:val="1"/>
        </w:numPr>
        <w:ind w:left="360" w:hangingChars="200" w:hanging="36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識別番号欄には、</w:t>
      </w: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PMDA</w:t>
      </w:r>
      <w:r w:rsidRPr="00B80410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へ報告した副作用・感染症症例（外国症例を除く。）のうち、再審査申請時に使用上の注意から予測できないものについて、当該副作用・感染症症例報告の識別番号を記載すること。</w:t>
      </w:r>
    </w:p>
    <w:sectPr w:rsidR="003E0749" w:rsidRPr="00B80410" w:rsidSect="003E0749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5F8E"/>
    <w:multiLevelType w:val="hybridMultilevel"/>
    <w:tmpl w:val="3F7011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49"/>
    <w:rsid w:val="000E6862"/>
    <w:rsid w:val="003E0749"/>
    <w:rsid w:val="006E3685"/>
    <w:rsid w:val="00AE4320"/>
    <w:rsid w:val="00B70141"/>
    <w:rsid w:val="00B80410"/>
    <w:rsid w:val="00FA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A4A0A5"/>
  <w15:chartTrackingRefBased/>
  <w15:docId w15:val="{D9BCC207-DCF4-446A-9C61-062DD1F6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749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2022-06-21T09:40:00Z</dcterms:created>
  <dcterms:modified xsi:type="dcterms:W3CDTF">2022-07-07T23:59:00Z</dcterms:modified>
</cp:coreProperties>
</file>